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03524" w14:textId="77777777" w:rsidR="00300732" w:rsidRPr="00425F7B" w:rsidRDefault="00300732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</w:p>
    <w:p w14:paraId="7E7378B8" w14:textId="4957B314" w:rsidR="00300732" w:rsidRPr="00425F7B" w:rsidRDefault="002F76A0">
      <w:pPr>
        <w:rPr>
          <w:rFonts w:ascii="Comic Sans MS" w:eastAsia="Comic Sans MS" w:hAnsi="Comic Sans MS" w:cs="Comic Sans MS"/>
          <w:b/>
          <w:sz w:val="16"/>
          <w:szCs w:val="16"/>
          <w:u w:val="single"/>
        </w:rPr>
      </w:pPr>
      <w:r w:rsidRPr="00425F7B">
        <w:rPr>
          <w:rFonts w:ascii="Comic Sans MS" w:eastAsia="Comic Sans MS" w:hAnsi="Comic Sans MS" w:cs="Comic Sans MS"/>
          <w:b/>
          <w:sz w:val="16"/>
          <w:szCs w:val="16"/>
          <w:u w:val="single"/>
        </w:rPr>
        <w:t>Exercice</w:t>
      </w:r>
      <w:r w:rsidR="00EC02F1">
        <w:rPr>
          <w:rFonts w:ascii="Comic Sans MS" w:eastAsia="Comic Sans MS" w:hAnsi="Comic Sans MS" w:cs="Comic Sans MS"/>
          <w:b/>
          <w:sz w:val="16"/>
          <w:szCs w:val="16"/>
          <w:u w:val="single"/>
        </w:rPr>
        <w:t> :</w:t>
      </w:r>
      <w:r w:rsidRPr="00425F7B">
        <w:rPr>
          <w:rFonts w:ascii="Comic Sans MS" w:eastAsia="Comic Sans MS" w:hAnsi="Comic Sans MS" w:cs="Comic Sans MS"/>
          <w:b/>
          <w:sz w:val="16"/>
          <w:szCs w:val="16"/>
          <w:u w:val="single"/>
        </w:rPr>
        <w:t xml:space="preserve"> Gonflage nitrox : (8 pts)</w:t>
      </w:r>
    </w:p>
    <w:p w14:paraId="2EEB3876" w14:textId="77777777" w:rsidR="00300732" w:rsidRPr="00425F7B" w:rsidRDefault="00300732">
      <w:pPr>
        <w:rPr>
          <w:rFonts w:ascii="Comic Sans MS" w:eastAsia="Comic Sans MS" w:hAnsi="Comic Sans MS" w:cs="Comic Sans MS"/>
          <w:b/>
          <w:sz w:val="16"/>
          <w:szCs w:val="16"/>
          <w:u w:val="single"/>
        </w:rPr>
      </w:pPr>
    </w:p>
    <w:p w14:paraId="10E1C609" w14:textId="77777777" w:rsidR="00300732" w:rsidRPr="00425F7B" w:rsidRDefault="002F76A0">
      <w:pPr>
        <w:rPr>
          <w:rFonts w:ascii="Comic Sans MS" w:eastAsia="Comic Sans MS" w:hAnsi="Comic Sans MS" w:cs="Comic Sans MS"/>
          <w:sz w:val="16"/>
          <w:szCs w:val="16"/>
        </w:rPr>
      </w:pPr>
      <w:r w:rsidRPr="00425F7B">
        <w:rPr>
          <w:rFonts w:ascii="Comic Sans MS" w:eastAsia="Comic Sans MS" w:hAnsi="Comic Sans MS" w:cs="Comic Sans MS"/>
          <w:sz w:val="16"/>
          <w:szCs w:val="16"/>
        </w:rPr>
        <w:t>Vous êtes responsable technique d’un important club de bord de mer. Dans le cadre de son développement, le club souhaite proposer à ses adhérents des plongées Nitrox, et il décide alors de s’équiper de 3 bouteilles d’O2 de 50l à 200 bars pour pouvoir gonfler ces blocs par transvasement d’O2 puis complément à l’air avec le compresseur. Vous considèrerez que les B50 sont toujours ouvertes en même temps et vidées en parallèle.</w:t>
      </w:r>
    </w:p>
    <w:p w14:paraId="4076FF77" w14:textId="77777777" w:rsidR="00300732" w:rsidRPr="00425F7B" w:rsidRDefault="002F76A0">
      <w:pPr>
        <w:rPr>
          <w:rFonts w:ascii="Comic Sans MS" w:eastAsia="Comic Sans MS" w:hAnsi="Comic Sans MS" w:cs="Comic Sans MS"/>
          <w:sz w:val="16"/>
          <w:szCs w:val="16"/>
        </w:rPr>
      </w:pPr>
      <w:r w:rsidRPr="00425F7B">
        <w:rPr>
          <w:rFonts w:ascii="Comic Sans MS" w:eastAsia="Comic Sans MS" w:hAnsi="Comic Sans MS" w:cs="Comic Sans MS"/>
          <w:sz w:val="16"/>
          <w:szCs w:val="16"/>
        </w:rPr>
        <w:t>Le club envisage de faire 20 plongées nitrox par semaine durant la période estivale (durée 20 semaines) et en moyenne 8 plongées nitrox par semaine durant la saison hivernale (26 semaines car le club est fermé durant 6 semaines).</w:t>
      </w:r>
    </w:p>
    <w:p w14:paraId="3D337EF3" w14:textId="4F7D0964" w:rsidR="00300732" w:rsidRPr="00425F7B" w:rsidRDefault="002F76A0">
      <w:pPr>
        <w:rPr>
          <w:rFonts w:ascii="Comic Sans MS" w:eastAsia="Comic Sans MS" w:hAnsi="Comic Sans MS" w:cs="Comic Sans MS"/>
          <w:sz w:val="16"/>
          <w:szCs w:val="16"/>
        </w:rPr>
      </w:pPr>
      <w:r w:rsidRPr="00425F7B">
        <w:rPr>
          <w:rFonts w:ascii="Comic Sans MS" w:eastAsia="Comic Sans MS" w:hAnsi="Comic Sans MS" w:cs="Comic Sans MS"/>
          <w:sz w:val="16"/>
          <w:szCs w:val="16"/>
          <w:u w:val="single"/>
        </w:rPr>
        <w:t>Note</w:t>
      </w:r>
      <w:r w:rsidRPr="00425F7B">
        <w:rPr>
          <w:rFonts w:ascii="Comic Sans MS" w:eastAsia="Comic Sans MS" w:hAnsi="Comic Sans MS" w:cs="Comic Sans MS"/>
          <w:sz w:val="16"/>
          <w:szCs w:val="16"/>
        </w:rPr>
        <w:t> : Pour tous les calculs, vous pourrez arrondir les résultats obtenus à 2 chiffres après la virgule.</w:t>
      </w:r>
    </w:p>
    <w:p w14:paraId="7B9A161A" w14:textId="77777777" w:rsidR="00300732" w:rsidRPr="00425F7B" w:rsidRDefault="002F76A0">
      <w:pPr>
        <w:rPr>
          <w:rFonts w:ascii="Comic Sans MS" w:eastAsia="Comic Sans MS" w:hAnsi="Comic Sans MS" w:cs="Comic Sans MS"/>
          <w:sz w:val="16"/>
          <w:szCs w:val="16"/>
        </w:rPr>
      </w:pPr>
      <w:r w:rsidRPr="00425F7B">
        <w:rPr>
          <w:rFonts w:ascii="Comic Sans MS" w:eastAsia="Comic Sans MS" w:hAnsi="Comic Sans MS" w:cs="Comic Sans MS"/>
          <w:sz w:val="16"/>
          <w:szCs w:val="16"/>
        </w:rPr>
        <w:t xml:space="preserve">Les plongées Nitrox sont toujours réalisées avec  les mêmes blocs de 15l gonflés à 200b avec un mélange à 32%. En tant que responsable technique, vous envisagez 2 possibilités pour gonfler chaque bloc : en vidant les blocs totalement lorsqu’ils reviennent de plongée (méthode 1) ou en les complétant pour les ramener à une pression de 200 bars (méthode 2 en considérant qu’ils ont une pression résiduelle de 50 bars). </w:t>
      </w:r>
    </w:p>
    <w:p w14:paraId="614EDDE0" w14:textId="77777777" w:rsidR="00300732" w:rsidRPr="007E4290" w:rsidRDefault="00300732">
      <w:pPr>
        <w:rPr>
          <w:rFonts w:ascii="Comic Sans MS" w:eastAsia="Comic Sans MS" w:hAnsi="Comic Sans MS" w:cs="Comic Sans MS"/>
          <w:sz w:val="10"/>
          <w:szCs w:val="10"/>
        </w:rPr>
      </w:pPr>
    </w:p>
    <w:p w14:paraId="29A2D316" w14:textId="7A17A2D0" w:rsidR="00300732" w:rsidRDefault="002F76A0" w:rsidP="007E42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>Indiquer, en justifiant votre réponse par le calcul, si l’une de ces 2 méthodes permet d’utiliser au mieux les B50 d’oxygène (en tenant compte de la quantité d’oxygène dans les B50 qu’il ne vous sera pas possible d’utiliser). (</w:t>
      </w:r>
      <w:r w:rsidR="000370B9"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>5</w:t>
      </w:r>
      <w:r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points)</w:t>
      </w:r>
    </w:p>
    <w:p w14:paraId="77CDF43A" w14:textId="77777777" w:rsidR="007E4290" w:rsidRPr="007E4290" w:rsidRDefault="007E4290" w:rsidP="007E429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0"/>
          <w:szCs w:val="10"/>
        </w:rPr>
      </w:pPr>
    </w:p>
    <w:p w14:paraId="6688BE5E" w14:textId="77777777" w:rsidR="00300732" w:rsidRPr="00425F7B" w:rsidRDefault="002F76A0" w:rsidP="007E429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Méthode 1 – en vidant les blocs lorsqu’ils reviennent de plongée (2 points)</w:t>
      </w:r>
    </w:p>
    <w:p w14:paraId="26FC1203" w14:textId="77777777" w:rsidR="00300732" w:rsidRPr="00425F7B" w:rsidRDefault="002F76A0" w:rsidP="007E429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Les blocs étant tous vides, on va d’abord mettre de l’O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pur, puis compléter avec de l’air pour obtenir le bon mélange. Le taux d’O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 xml:space="preserve">2 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étant la clé, on peut calculer la pression d’oxygène à mettre au début de la manière suivante :</w:t>
      </w:r>
    </w:p>
    <w:p w14:paraId="2F4BCC37" w14:textId="77777777" w:rsidR="00300732" w:rsidRPr="00425F7B" w:rsidRDefault="00FE4086">
      <w:pPr>
        <w:jc w:val="center"/>
        <w:rPr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sz w:val="16"/>
                  <w:szCs w:val="16"/>
                </w:rPr>
              </m:ctrlPr>
            </m:sSub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O2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×1</m:t>
              </m:r>
              <m:r>
                <w:rPr>
                  <w:rFonts w:ascii="Cambria Math" w:hAnsi="Cambria Math"/>
                  <w:sz w:val="16"/>
                  <w:szCs w:val="16"/>
                </w:rPr>
                <m:t>⏟</m:t>
              </m:r>
            </m:e>
            <m: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Oxygène venant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 xml:space="preserve"> de la B50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</m:sub>
          </m:sSub>
          <m:r>
            <w:rPr>
              <w:rFonts w:ascii="Cambria Math" w:eastAsia="Cambria Math" w:hAnsi="Cambria Math" w:cs="Cambria Math"/>
              <w:color w:val="365F91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/>
                  <w:sz w:val="16"/>
                  <w:szCs w:val="16"/>
                </w:rPr>
              </m:ctrlPr>
            </m:sSub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air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×0,21</m:t>
              </m:r>
              <m:r>
                <w:rPr>
                  <w:rFonts w:ascii="Cambria Math" w:hAnsi="Cambria Math"/>
                  <w:sz w:val="16"/>
                  <w:szCs w:val="16"/>
                </w:rPr>
                <m:t>⏟</m:t>
              </m:r>
            </m:e>
            <m: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Oxygène venant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 xml:space="preserve">de 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'</m:t>
                  </m:r>
                </m:sup>
              </m:sSup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air ambiant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 xml:space="preserve">lors du complément 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au compresseur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</m:sub>
          </m:sSub>
          <m:r>
            <w:rPr>
              <w:rFonts w:ascii="Cambria Math" w:eastAsia="Cambria Math" w:hAnsi="Cambria Math" w:cs="Cambria Math"/>
              <w:color w:val="365F91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/>
                  <w:sz w:val="16"/>
                  <w:szCs w:val="16"/>
                </w:rPr>
              </m:ctrlPr>
            </m:sSub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365F91"/>
                      <w:sz w:val="16"/>
                      <w:szCs w:val="16"/>
                    </w:rPr>
                    <m:t>nitrox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×0,32</m:t>
              </m:r>
              <m:r>
                <w:rPr>
                  <w:rFonts w:ascii="Cambria Math" w:hAnsi="Cambria Math"/>
                  <w:sz w:val="16"/>
                  <w:szCs w:val="16"/>
                </w:rPr>
                <m:t>⏟</m:t>
              </m:r>
            </m:e>
            <m:sub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 xml:space="preserve">Oxygène contenu 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dans le bloc de 15L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  <m:r>
                <w:rPr>
                  <w:rFonts w:ascii="Cambria Math" w:eastAsia="Cambria Math" w:hAnsi="Cambria Math" w:cs="Cambria Math"/>
                  <w:color w:val="365F91"/>
                  <w:sz w:val="16"/>
                  <w:szCs w:val="16"/>
                </w:rPr>
                <m:t>à la fin du gonflage</m:t>
              </m:r>
              <m:r>
                <w:rPr>
                  <w:rFonts w:ascii="Cambria Math" w:hAnsi="Cambria Math"/>
                  <w:sz w:val="16"/>
                  <w:szCs w:val="16"/>
                </w:rPr>
                <m:t xml:space="preserve"> </m:t>
              </m:r>
            </m:sub>
          </m:sSub>
        </m:oMath>
      </m:oMathPara>
    </w:p>
    <w:p w14:paraId="09E62CA1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La pression d’air à mettre est la différence entre la pression totale recherchée (</w:t>
      </w:r>
      <w:proofErr w:type="spellStart"/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càd</w:t>
      </w:r>
      <w:proofErr w:type="spellEnd"/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200b) et la pression d’oxygène déjà présente dans le bloc (provenant de l’étape de transvasement avec la B50). On obtient alors :</w:t>
      </w:r>
    </w:p>
    <w:p w14:paraId="5E4ADD60" w14:textId="77777777" w:rsidR="00300732" w:rsidRPr="00425F7B" w:rsidRDefault="002F76A0">
      <w:pPr>
        <w:rPr>
          <w:rFonts w:ascii="Comic Sans MS" w:eastAsia="Comic Sans MS" w:hAnsi="Comic Sans MS" w:cs="Comic Sans MS"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noProof/>
          <w:color w:val="365F91"/>
          <w:sz w:val="16"/>
          <w:szCs w:val="16"/>
          <w:vertAlign w:val="subscript"/>
        </w:rPr>
        <w:drawing>
          <wp:inline distT="0" distB="0" distL="114300" distR="114300" wp14:anchorId="11A923F7" wp14:editId="20D57EEB">
            <wp:extent cx="2641600" cy="236855"/>
            <wp:effectExtent l="0" t="0" r="0" b="0"/>
            <wp:docPr id="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23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1B9140" w14:textId="77777777" w:rsidR="00300732" w:rsidRPr="00425F7B" w:rsidRDefault="002F76A0">
      <w:pPr>
        <w:rPr>
          <w:rFonts w:ascii="Comic Sans MS" w:eastAsia="Comic Sans MS" w:hAnsi="Comic Sans MS" w:cs="Comic Sans MS"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color w:val="365F91"/>
          <w:sz w:val="16"/>
          <w:szCs w:val="16"/>
        </w:rPr>
        <w:t xml:space="preserve">Et donc : </w:t>
      </w:r>
      <w:r w:rsidRPr="00425F7B">
        <w:rPr>
          <w:rFonts w:ascii="Comic Sans MS" w:eastAsia="Comic Sans MS" w:hAnsi="Comic Sans MS" w:cs="Comic Sans MS"/>
          <w:noProof/>
          <w:color w:val="365F91"/>
          <w:sz w:val="16"/>
          <w:szCs w:val="16"/>
          <w:vertAlign w:val="subscript"/>
        </w:rPr>
        <w:drawing>
          <wp:inline distT="0" distB="0" distL="114300" distR="114300" wp14:anchorId="3972BC16" wp14:editId="01A6731C">
            <wp:extent cx="2065654" cy="394970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5654" cy="394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A03B3D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Pour gonfler nos blocs à 200 bars avec un mélange 32/68, il nous faut donc injecter 27,85 bars d’oxygène, puis 172,15 bars d’air.</w:t>
      </w:r>
    </w:p>
    <w:p w14:paraId="6B0D57B8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Pour gonfler une bouteille, il nous faut  417,75 l d’O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(=15 x 27,85), et nous ne pourrons pas descendre en dessous de 27,85 bars dans les B50. Le volume total d’O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utilisable dans les B50 est donc de 25822,5 L ( (200 – 27,85) x 50 x 3), ce qui représente un total de 61,8 bouteilles regonflées (25822,5 / 417,75).</w:t>
      </w:r>
    </w:p>
    <w:p w14:paraId="79EB0F66" w14:textId="77777777" w:rsidR="00300732" w:rsidRPr="00425F7B" w:rsidRDefault="00300732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</w:p>
    <w:p w14:paraId="49BAA913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Méthode 2 – En complétant les blocs dans lesquels il reste 50 bars de Nitrox (2 points).</w:t>
      </w:r>
    </w:p>
    <w:p w14:paraId="18F522D5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On peut refaire les mêmes calculs d’équilibre des pressions :</w:t>
      </w:r>
    </w:p>
    <w:p w14:paraId="0F46128F" w14:textId="77777777" w:rsidR="00300732" w:rsidRPr="00425F7B" w:rsidRDefault="002F76A0">
      <w:pPr>
        <w:rPr>
          <w:rFonts w:ascii="Comic Sans MS" w:eastAsia="Comic Sans MS" w:hAnsi="Comic Sans MS" w:cs="Comic Sans MS"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noProof/>
          <w:color w:val="365F91"/>
          <w:sz w:val="16"/>
          <w:szCs w:val="16"/>
          <w:vertAlign w:val="subscript"/>
        </w:rPr>
        <w:drawing>
          <wp:inline distT="0" distB="0" distL="114300" distR="114300" wp14:anchorId="699AA7DA" wp14:editId="6D263641">
            <wp:extent cx="3194685" cy="236855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4685" cy="23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42AEE0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On considère que la pression d’air à injecter est la différence entre la pression souhaitée d’un côté et la pression résiduelle ajoutée de la pression d’oxygène injectée de l’autre côté, ce qui donne après réduction :</w:t>
      </w:r>
    </w:p>
    <w:p w14:paraId="2F3B8052" w14:textId="77777777" w:rsidR="00300732" w:rsidRPr="00425F7B" w:rsidRDefault="002F76A0">
      <w:pPr>
        <w:rPr>
          <w:rFonts w:ascii="Comic Sans MS" w:eastAsia="Comic Sans MS" w:hAnsi="Comic Sans MS" w:cs="Comic Sans MS"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noProof/>
          <w:color w:val="365F91"/>
          <w:sz w:val="16"/>
          <w:szCs w:val="16"/>
          <w:vertAlign w:val="subscript"/>
        </w:rPr>
        <w:drawing>
          <wp:inline distT="0" distB="0" distL="114300" distR="114300" wp14:anchorId="6DFC3BAB" wp14:editId="008A0A3C">
            <wp:extent cx="4391660" cy="236855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236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B6A56E" w14:textId="77777777" w:rsidR="00300732" w:rsidRPr="00425F7B" w:rsidRDefault="002F76A0">
      <w:pPr>
        <w:rPr>
          <w:rFonts w:ascii="Comic Sans MS" w:eastAsia="Comic Sans MS" w:hAnsi="Comic Sans MS" w:cs="Comic Sans MS"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color w:val="365F91"/>
          <w:sz w:val="16"/>
          <w:szCs w:val="16"/>
        </w:rPr>
        <w:t xml:space="preserve">Et donc : </w:t>
      </w:r>
      <w:r w:rsidRPr="00425F7B">
        <w:rPr>
          <w:rFonts w:ascii="Comic Sans MS" w:eastAsia="Comic Sans MS" w:hAnsi="Comic Sans MS" w:cs="Comic Sans MS"/>
          <w:noProof/>
          <w:color w:val="365F91"/>
          <w:sz w:val="16"/>
          <w:szCs w:val="16"/>
          <w:vertAlign w:val="subscript"/>
        </w:rPr>
        <w:drawing>
          <wp:inline distT="0" distB="0" distL="114300" distR="114300" wp14:anchorId="4AB73DB1" wp14:editId="72C69B59">
            <wp:extent cx="3770630" cy="41783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0630" cy="4178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F5260F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Il nous faut donc injecter 20,89 bars d’ 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, puis 129,11 bars d’air (200 – 50 -20,89).</w:t>
      </w:r>
    </w:p>
    <w:p w14:paraId="24C1D0A9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Pour gonfler une bouteille, il nous faut  313,35 L d’O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(15 x 20,89), et nous ne pourrons pas descendre en-dessous de 70,89 bars dans la B50. </w:t>
      </w:r>
    </w:p>
    <w:p w14:paraId="3A6EBA9D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Le volume total d’O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  <w:vertAlign w:val="subscript"/>
        </w:rPr>
        <w:t>2</w:t>
      </w: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disponible est donc de 19366,5 L ( (200 – 70,89) x 50 x 3), ce qui représente un total de 61,8 bouteilles regonflées (19366,5 / 313,35).</w:t>
      </w:r>
    </w:p>
    <w:p w14:paraId="44F9DCFF" w14:textId="77777777" w:rsidR="00300732" w:rsidRPr="007E4290" w:rsidRDefault="00300732">
      <w:pPr>
        <w:rPr>
          <w:rFonts w:ascii="Comic Sans MS" w:eastAsia="Comic Sans MS" w:hAnsi="Comic Sans MS" w:cs="Comic Sans MS"/>
          <w:color w:val="365F91"/>
          <w:sz w:val="10"/>
          <w:szCs w:val="10"/>
        </w:rPr>
      </w:pPr>
    </w:p>
    <w:p w14:paraId="409FF2CF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proofErr w:type="gramStart"/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En terme</w:t>
      </w:r>
      <w:proofErr w:type="gramEnd"/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 xml:space="preserve"> d’utilisation d’O2, les 2 méthodes sont donc équivalentes. </w:t>
      </w:r>
    </w:p>
    <w:p w14:paraId="5332D6AD" w14:textId="77777777" w:rsidR="00300732" w:rsidRPr="007E4290" w:rsidRDefault="00300732">
      <w:pPr>
        <w:rPr>
          <w:rFonts w:ascii="Comic Sans MS" w:eastAsia="Comic Sans MS" w:hAnsi="Comic Sans MS" w:cs="Comic Sans MS"/>
          <w:i/>
          <w:iCs/>
          <w:color w:val="365F91"/>
          <w:sz w:val="10"/>
          <w:szCs w:val="10"/>
        </w:rPr>
      </w:pPr>
    </w:p>
    <w:p w14:paraId="60627EC4" w14:textId="1320848B" w:rsidR="00300732" w:rsidRPr="00425F7B" w:rsidRDefault="002F76A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Si ce n’est pas le cas, indiquez la méthode qui, </w:t>
      </w:r>
      <w:r w:rsidRPr="00425F7B"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  <w:t>du point de vue pratique</w:t>
      </w:r>
      <w:r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>, serait préférable, en justifiant votre point de vue (</w:t>
      </w:r>
      <w:r w:rsidR="000370B9"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>3</w:t>
      </w:r>
      <w:r w:rsidRPr="00425F7B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points).</w:t>
      </w:r>
    </w:p>
    <w:p w14:paraId="3DA60FD4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D’un point de vue pratique, la méthode 2 présente néanmoins les avantages suivants :</w:t>
      </w:r>
    </w:p>
    <w:p w14:paraId="26B9FDB3" w14:textId="77777777" w:rsidR="00300732" w:rsidRPr="00425F7B" w:rsidRDefault="002F76A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Gain de temps car elle évite de devoir attendre pour vider les blocs à la fin de la plongée.</w:t>
      </w:r>
    </w:p>
    <w:p w14:paraId="48469305" w14:textId="77777777" w:rsidR="00300732" w:rsidRPr="00425F7B" w:rsidRDefault="002F76A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Gain de temps au gonflage car elle nécessite de faire tourner le compresseur moins longtemps.</w:t>
      </w:r>
    </w:p>
    <w:p w14:paraId="5682FC3C" w14:textId="77777777" w:rsidR="00300732" w:rsidRPr="00425F7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La méthode 2 est donc, au final, préférable à la méthode 1.</w:t>
      </w:r>
    </w:p>
    <w:p w14:paraId="7A136655" w14:textId="77777777" w:rsidR="00300732" w:rsidRPr="007E4290" w:rsidRDefault="00300732">
      <w:pPr>
        <w:rPr>
          <w:rFonts w:ascii="Comic Sans MS" w:eastAsia="Comic Sans MS" w:hAnsi="Comic Sans MS" w:cs="Comic Sans MS"/>
          <w:color w:val="365F91"/>
          <w:sz w:val="10"/>
          <w:szCs w:val="10"/>
        </w:rPr>
      </w:pPr>
    </w:p>
    <w:p w14:paraId="5549B13B" w14:textId="77777777" w:rsidR="00300732" w:rsidRPr="00425F7B" w:rsidRDefault="002F76A0">
      <w:pPr>
        <w:rPr>
          <w:rFonts w:ascii="Comic Sans MS" w:eastAsia="Comic Sans MS" w:hAnsi="Comic Sans MS" w:cs="Comic Sans MS"/>
          <w:b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b/>
          <w:i/>
          <w:iCs/>
          <w:color w:val="365F91"/>
          <w:sz w:val="16"/>
          <w:szCs w:val="16"/>
        </w:rPr>
        <w:t>Remarque (hors correction).</w:t>
      </w:r>
    </w:p>
    <w:p w14:paraId="5435A6D6" w14:textId="5F4AFD9A" w:rsidR="00300732" w:rsidRPr="009D32DB" w:rsidRDefault="002F76A0">
      <w:pPr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</w:pPr>
      <w:r w:rsidRPr="00425F7B">
        <w:rPr>
          <w:rFonts w:ascii="Comic Sans MS" w:eastAsia="Comic Sans MS" w:hAnsi="Comic Sans MS" w:cs="Comic Sans MS"/>
          <w:i/>
          <w:iCs/>
          <w:color w:val="365F91"/>
          <w:sz w:val="16"/>
          <w:szCs w:val="16"/>
        </w:rPr>
        <w:t>La méthode 2 permet également d’ optimiser la consommation d’oxygène, car on peut envisager de mixer les 2 méthodes en gonflant par complément les 60,8 bouteilles possibles (i.e. : méthode 2), puis de gonfler les autres blocs en vidant auparavant les blocs nitrox tant qu’il restera plus de 28 bars dans les B50 (i.e. : méthode 1).</w:t>
      </w:r>
    </w:p>
    <w:sectPr w:rsidR="00300732" w:rsidRPr="009D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0613" w14:textId="77777777" w:rsidR="00FE4086" w:rsidRDefault="00FE4086">
      <w:r>
        <w:separator/>
      </w:r>
    </w:p>
  </w:endnote>
  <w:endnote w:type="continuationSeparator" w:id="0">
    <w:p w14:paraId="3E660E30" w14:textId="77777777" w:rsidR="00FE4086" w:rsidRDefault="00FE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83FD" w14:textId="77777777" w:rsidR="00300732" w:rsidRDefault="002F76A0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FE4086">
      <w:rPr>
        <w:color w:val="000000"/>
        <w:sz w:val="16"/>
        <w:szCs w:val="16"/>
      </w:rPr>
      <w:fldChar w:fldCharType="separate"/>
    </w:r>
    <w:r>
      <w:rPr>
        <w:color w:val="000000"/>
        <w:sz w:val="16"/>
        <w:szCs w:val="16"/>
      </w:rPr>
      <w:fldChar w:fldCharType="end"/>
    </w:r>
  </w:p>
  <w:p w14:paraId="71F38B86" w14:textId="77777777" w:rsidR="00300732" w:rsidRDefault="0030073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B9443" w14:textId="77777777" w:rsidR="00300732" w:rsidRDefault="002F76A0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03FE4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3AB3A901" w14:textId="77777777" w:rsidR="00300732" w:rsidRDefault="0030073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5F51" w14:textId="77777777" w:rsidR="00300732" w:rsidRDefault="0030073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7F6F" w14:textId="77777777" w:rsidR="00FE4086" w:rsidRDefault="00FE4086">
      <w:r>
        <w:separator/>
      </w:r>
    </w:p>
  </w:footnote>
  <w:footnote w:type="continuationSeparator" w:id="0">
    <w:p w14:paraId="5AB40839" w14:textId="77777777" w:rsidR="00FE4086" w:rsidRDefault="00FE4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0529" w14:textId="77777777" w:rsidR="00300732" w:rsidRDefault="003007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4A6F8" w14:textId="77777777" w:rsidR="00300732" w:rsidRDefault="00300732"/>
  <w:tbl>
    <w:tblPr>
      <w:tblStyle w:val="a1"/>
      <w:tblW w:w="9264" w:type="dxa"/>
      <w:tblInd w:w="0" w:type="dxa"/>
      <w:tblLayout w:type="fixed"/>
      <w:tblLook w:val="0400" w:firstRow="0" w:lastRow="0" w:firstColumn="0" w:lastColumn="0" w:noHBand="0" w:noVBand="1"/>
    </w:tblPr>
    <w:tblGrid>
      <w:gridCol w:w="4219"/>
      <w:gridCol w:w="5045"/>
    </w:tblGrid>
    <w:tr w:rsidR="00300732" w14:paraId="161C8945" w14:textId="77777777">
      <w:tc>
        <w:tcPr>
          <w:tcW w:w="4219" w:type="dxa"/>
          <w:shd w:val="clear" w:color="auto" w:fill="auto"/>
        </w:tcPr>
        <w:p w14:paraId="41A66231" w14:textId="77777777" w:rsidR="00300732" w:rsidRDefault="002F76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4A3F9955" wp14:editId="04EA3922">
                <wp:extent cx="990600" cy="600075"/>
                <wp:effectExtent l="0" t="0" r="0" b="0"/>
                <wp:docPr id="6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2711D36F" w14:textId="77777777" w:rsidR="00300732" w:rsidRDefault="002F76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71E916CC" w14:textId="6C294407" w:rsidR="00300732" w:rsidRDefault="003007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b/>
              <w:color w:val="000000"/>
              <w:sz w:val="24"/>
              <w:szCs w:val="24"/>
            </w:rPr>
          </w:pPr>
        </w:p>
      </w:tc>
    </w:tr>
  </w:tbl>
  <w:p w14:paraId="5FCAEAF7" w14:textId="77777777" w:rsidR="00300732" w:rsidRDefault="003007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1BCA" w14:textId="77777777" w:rsidR="00300732" w:rsidRDefault="003007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937"/>
    <w:multiLevelType w:val="multilevel"/>
    <w:tmpl w:val="D64A82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3AF3"/>
    <w:multiLevelType w:val="multilevel"/>
    <w:tmpl w:val="9C4ECE22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28030ED"/>
    <w:multiLevelType w:val="multilevel"/>
    <w:tmpl w:val="7F487572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decimal"/>
      <w:lvlText w:val="%2."/>
      <w:lvlJc w:val="left"/>
      <w:pPr>
        <w:ind w:left="1506" w:hanging="360"/>
      </w:pPr>
      <w:rPr>
        <w:rFonts w:ascii="Comic Sans MS" w:eastAsia="Comic Sans MS" w:hAnsi="Comic Sans MS" w:cs="Comic Sans MS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86C3DE4"/>
    <w:multiLevelType w:val="multilevel"/>
    <w:tmpl w:val="08FE6B20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decimal"/>
      <w:lvlText w:val="%2."/>
      <w:lvlJc w:val="left"/>
      <w:pPr>
        <w:ind w:left="1506" w:hanging="360"/>
      </w:pPr>
      <w:rPr>
        <w:rFonts w:ascii="Comic Sans MS" w:eastAsia="Comic Sans MS" w:hAnsi="Comic Sans MS" w:cs="Comic Sans MS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FFC59A1"/>
    <w:multiLevelType w:val="multilevel"/>
    <w:tmpl w:val="A288B5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B1BE9"/>
    <w:multiLevelType w:val="multilevel"/>
    <w:tmpl w:val="043CC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F5B2C"/>
    <w:multiLevelType w:val="multilevel"/>
    <w:tmpl w:val="030057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3B59"/>
    <w:multiLevelType w:val="multilevel"/>
    <w:tmpl w:val="02DE3F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32"/>
    <w:rsid w:val="000370B9"/>
    <w:rsid w:val="001A58C4"/>
    <w:rsid w:val="002F76A0"/>
    <w:rsid w:val="00300732"/>
    <w:rsid w:val="00334B2E"/>
    <w:rsid w:val="003A63C3"/>
    <w:rsid w:val="00425F7B"/>
    <w:rsid w:val="00536B3C"/>
    <w:rsid w:val="005D5E80"/>
    <w:rsid w:val="00630BBC"/>
    <w:rsid w:val="007E4290"/>
    <w:rsid w:val="008D7B80"/>
    <w:rsid w:val="009D32DB"/>
    <w:rsid w:val="00B46296"/>
    <w:rsid w:val="00C03FE4"/>
    <w:rsid w:val="00C130B9"/>
    <w:rsid w:val="00D87241"/>
    <w:rsid w:val="00EC02F1"/>
    <w:rsid w:val="00FE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7BC2C5"/>
  <w15:docId w15:val="{00880D29-A884-E242-B10C-1D5FBED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360"/>
      <w:ind w:left="567" w:hanging="567"/>
      <w:outlineLvl w:val="0"/>
    </w:pPr>
    <w:rPr>
      <w:b/>
      <w:smallCaps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240"/>
      <w:ind w:left="709" w:hanging="709"/>
      <w:outlineLvl w:val="1"/>
    </w:pPr>
    <w:rPr>
      <w:rFonts w:ascii="Arial Gras" w:eastAsia="Arial Gras" w:hAnsi="Arial Gras" w:cs="Arial Gras"/>
      <w:b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2"/>
    </w:pPr>
    <w:rPr>
      <w:b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3"/>
    </w:pPr>
    <w:rPr>
      <w:b/>
      <w:u w:val="single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360"/>
      <w:jc w:val="center"/>
    </w:pPr>
    <w:rPr>
      <w:rFonts w:ascii="Comic Sans MS" w:eastAsia="Comic Sans MS" w:hAnsi="Comic Sans MS" w:cs="Comic Sans MS"/>
      <w:b/>
      <w:color w:val="000000"/>
      <w:sz w:val="32"/>
      <w:szCs w:val="32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683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12</cp:revision>
  <dcterms:created xsi:type="dcterms:W3CDTF">2021-10-20T16:05:00Z</dcterms:created>
  <dcterms:modified xsi:type="dcterms:W3CDTF">2021-11-24T11:41:00Z</dcterms:modified>
</cp:coreProperties>
</file>